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6F" w:rsidRPr="005454E2" w:rsidRDefault="0016296F" w:rsidP="0016296F">
      <w:pPr>
        <w:spacing w:before="80"/>
        <w:jc w:val="center"/>
        <w:rPr>
          <w:rFonts w:asciiTheme="majorHAnsi" w:hAnsiTheme="majorHAnsi" w:cstheme="majorHAnsi"/>
          <w:b/>
          <w:color w:val="2F5496" w:themeColor="accent5" w:themeShade="BF"/>
          <w:sz w:val="56"/>
          <w:szCs w:val="56"/>
          <w:lang w:val="en-GB"/>
        </w:rPr>
      </w:pPr>
      <w:r w:rsidRPr="005454E2">
        <w:rPr>
          <w:rFonts w:asciiTheme="majorHAnsi" w:hAnsiTheme="majorHAnsi" w:cstheme="majorHAnsi"/>
          <w:b/>
          <w:noProof/>
          <w:color w:val="2F5496" w:themeColor="accent5" w:themeShade="BF"/>
          <w:sz w:val="56"/>
          <w:szCs w:val="56"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B6CC23" wp14:editId="08C217C9">
                <wp:simplePos x="0" y="0"/>
                <wp:positionH relativeFrom="page">
                  <wp:posOffset>1002030</wp:posOffset>
                </wp:positionH>
                <wp:positionV relativeFrom="paragraph">
                  <wp:posOffset>497205</wp:posOffset>
                </wp:positionV>
                <wp:extent cx="5756910" cy="45085"/>
                <wp:effectExtent l="11430" t="0" r="13335" b="1333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56910" cy="45085"/>
                        </a:xfrm>
                        <a:custGeom>
                          <a:avLst/>
                          <a:gdLst>
                            <a:gd name="T0" fmla="+- 0 1769 1769"/>
                            <a:gd name="T1" fmla="*/ T0 w 8373"/>
                            <a:gd name="T2" fmla="+- 0 10142 1769"/>
                            <a:gd name="T3" fmla="*/ T2 w 8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73">
                              <a:moveTo>
                                <a:pt x="0" y="0"/>
                              </a:moveTo>
                              <a:lnTo>
                                <a:pt x="837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6C579" id="Freeform 1" o:spid="_x0000_s1026" style="position:absolute;margin-left:78.9pt;margin-top:39.15pt;width:453.3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" path="m,l8373,e" filled="f" strokecolor="#4f81bc" strokeweight=".96pt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 w:rsidRPr="005454E2">
        <w:rPr>
          <w:rFonts w:asciiTheme="majorHAnsi" w:hAnsiTheme="majorHAnsi" w:cstheme="majorHAnsi"/>
          <w:b/>
          <w:color w:val="2F5496" w:themeColor="accent5" w:themeShade="BF"/>
          <w:sz w:val="56"/>
          <w:szCs w:val="56"/>
          <w:lang w:val="en-GB"/>
        </w:rPr>
        <w:t xml:space="preserve">Armelle Vagneur-Jones, MA </w:t>
      </w:r>
      <w:proofErr w:type="spellStart"/>
      <w:r w:rsidRPr="005454E2">
        <w:rPr>
          <w:rFonts w:asciiTheme="majorHAnsi" w:hAnsiTheme="majorHAnsi" w:cstheme="majorHAnsi"/>
          <w:b/>
          <w:color w:val="2F5496" w:themeColor="accent5" w:themeShade="BF"/>
          <w:sz w:val="56"/>
          <w:szCs w:val="56"/>
          <w:lang w:val="en-GB"/>
        </w:rPr>
        <w:t>MITI</w:t>
      </w:r>
      <w:proofErr w:type="spellEnd"/>
    </w:p>
    <w:p w:rsidR="0016296F" w:rsidRPr="005454E2" w:rsidRDefault="0016296F" w:rsidP="0016296F">
      <w:pPr>
        <w:spacing w:before="56"/>
        <w:ind w:right="70"/>
        <w:jc w:val="center"/>
        <w:rPr>
          <w:rFonts w:asciiTheme="majorHAnsi" w:hAnsiTheme="majorHAnsi" w:cstheme="majorHAnsi"/>
          <w:b/>
          <w:color w:val="2F5496" w:themeColor="accent5" w:themeShade="BF"/>
          <w:sz w:val="24"/>
          <w:szCs w:val="24"/>
          <w:lang w:val="en-GB"/>
        </w:rPr>
      </w:pPr>
      <w:r w:rsidRPr="005454E2">
        <w:rPr>
          <w:rFonts w:asciiTheme="majorHAnsi" w:hAnsiTheme="majorHAnsi" w:cstheme="majorHAnsi"/>
          <w:b/>
          <w:color w:val="2F5496" w:themeColor="accent5" w:themeShade="BF"/>
          <w:sz w:val="24"/>
          <w:szCs w:val="24"/>
          <w:lang w:val="en-GB"/>
        </w:rPr>
        <w:t xml:space="preserve">Translator from English into French, </w:t>
      </w:r>
      <w:r w:rsidR="008A450D" w:rsidRPr="005454E2">
        <w:rPr>
          <w:rFonts w:asciiTheme="majorHAnsi" w:hAnsiTheme="majorHAnsi" w:cstheme="majorHAnsi"/>
          <w:b/>
          <w:color w:val="2F5496" w:themeColor="accent5" w:themeShade="BF"/>
          <w:sz w:val="24"/>
          <w:szCs w:val="24"/>
          <w:lang w:val="en-GB"/>
        </w:rPr>
        <w:t xml:space="preserve">Member of </w:t>
      </w:r>
      <w:proofErr w:type="spellStart"/>
      <w:r w:rsidR="008A450D" w:rsidRPr="005454E2">
        <w:rPr>
          <w:rFonts w:asciiTheme="majorHAnsi" w:hAnsiTheme="majorHAnsi" w:cstheme="majorHAnsi"/>
          <w:b/>
          <w:color w:val="2F5496" w:themeColor="accent5" w:themeShade="BF"/>
          <w:sz w:val="24"/>
          <w:szCs w:val="24"/>
          <w:lang w:val="en-GB"/>
        </w:rPr>
        <w:t>ITI</w:t>
      </w:r>
      <w:proofErr w:type="spellEnd"/>
      <w:r w:rsidRPr="005454E2">
        <w:rPr>
          <w:rFonts w:asciiTheme="majorHAnsi" w:hAnsiTheme="majorHAnsi" w:cstheme="majorHAnsi"/>
          <w:b/>
          <w:color w:val="2F5496" w:themeColor="accent5" w:themeShade="BF"/>
          <w:sz w:val="24"/>
          <w:szCs w:val="24"/>
          <w:lang w:val="en-GB"/>
        </w:rPr>
        <w:t>, ISO17100:2015 Qualified</w:t>
      </w:r>
    </w:p>
    <w:p w:rsidR="0016296F" w:rsidRPr="00D10968" w:rsidRDefault="0016296F" w:rsidP="0016296F">
      <w:pPr>
        <w:pStyle w:val="BodyText"/>
        <w:spacing w:before="5"/>
        <w:rPr>
          <w:rFonts w:asciiTheme="majorHAnsi" w:hAnsiTheme="majorHAnsi" w:cstheme="majorHAnsi"/>
          <w:b/>
          <w:sz w:val="24"/>
          <w:szCs w:val="24"/>
          <w:lang w:val="en-GB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275"/>
      </w:tblGrid>
      <w:tr w:rsidR="0016296F" w:rsidRPr="00D10968" w:rsidTr="00C32F41">
        <w:trPr>
          <w:trHeight w:val="1176"/>
        </w:trPr>
        <w:tc>
          <w:tcPr>
            <w:tcW w:w="4540" w:type="dxa"/>
          </w:tcPr>
          <w:p w:rsidR="0016296F" w:rsidRPr="00D10968" w:rsidRDefault="0016296F" w:rsidP="00C32F41">
            <w:pPr>
              <w:pStyle w:val="TableParagraph"/>
              <w:tabs>
                <w:tab w:val="left" w:pos="0"/>
              </w:tabs>
              <w:spacing w:line="203" w:lineRule="exact"/>
              <w:ind w:left="64" w:right="1326" w:hanging="64"/>
              <w:jc w:val="center"/>
              <w:rPr>
                <w:rFonts w:asciiTheme="majorHAnsi" w:hAnsiTheme="majorHAnsi" w:cstheme="maj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color w:val="44546A" w:themeColor="text2"/>
                <w:sz w:val="20"/>
                <w:szCs w:val="20"/>
                <w:lang w:val="en-GB"/>
              </w:rPr>
              <w:t xml:space="preserve">Trading as </w:t>
            </w:r>
            <w:proofErr w:type="spellStart"/>
            <w:r w:rsidRPr="00D10968">
              <w:rPr>
                <w:rFonts w:asciiTheme="majorHAnsi" w:hAnsiTheme="majorHAnsi" w:cstheme="majorHAnsi"/>
                <w:b/>
                <w:color w:val="44546A" w:themeColor="text2"/>
                <w:sz w:val="20"/>
                <w:szCs w:val="20"/>
                <w:lang w:val="en-GB"/>
              </w:rPr>
              <w:t>Starline</w:t>
            </w:r>
            <w:proofErr w:type="spellEnd"/>
            <w:r w:rsidRPr="00D10968">
              <w:rPr>
                <w:rFonts w:asciiTheme="majorHAnsi" w:hAnsiTheme="majorHAnsi" w:cstheme="majorHAnsi"/>
                <w:b/>
                <w:color w:val="44546A" w:themeColor="text2"/>
                <w:sz w:val="20"/>
                <w:szCs w:val="20"/>
                <w:lang w:val="en-GB"/>
              </w:rPr>
              <w:t xml:space="preserve"> Translation Ltd</w:t>
            </w:r>
          </w:p>
          <w:p w:rsidR="0016296F" w:rsidRPr="00D10968" w:rsidRDefault="0016296F" w:rsidP="00C32F41">
            <w:pPr>
              <w:pStyle w:val="TableParagraph"/>
              <w:tabs>
                <w:tab w:val="left" w:pos="0"/>
              </w:tabs>
              <w:spacing w:line="203" w:lineRule="exact"/>
              <w:ind w:left="179" w:right="1326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French &amp; British Nationality</w:t>
            </w:r>
          </w:p>
          <w:p w:rsidR="0016296F" w:rsidRPr="00D10968" w:rsidRDefault="0016296F" w:rsidP="00C32F41">
            <w:pPr>
              <w:pStyle w:val="TableParagraph"/>
              <w:tabs>
                <w:tab w:val="left" w:pos="0"/>
              </w:tabs>
              <w:spacing w:before="1"/>
              <w:ind w:left="179" w:right="1326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 +44 (0)775 941 1536</w:t>
            </w:r>
          </w:p>
          <w:p w:rsidR="0016296F" w:rsidRPr="00D10968" w:rsidRDefault="0016296F" w:rsidP="00C32F41">
            <w:pPr>
              <w:pStyle w:val="TableParagraph"/>
              <w:tabs>
                <w:tab w:val="left" w:pos="0"/>
              </w:tabs>
              <w:spacing w:before="1"/>
              <w:ind w:left="179" w:right="1326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hyperlink r:id="rId5">
              <w:r w:rsidRPr="00D10968"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t>www.starlinetranslation.co.uk</w:t>
              </w:r>
            </w:hyperlink>
          </w:p>
        </w:tc>
        <w:tc>
          <w:tcPr>
            <w:tcW w:w="4275" w:type="dxa"/>
          </w:tcPr>
          <w:p w:rsidR="0016296F" w:rsidRPr="00D10968" w:rsidRDefault="0016296F" w:rsidP="00C32F41">
            <w:pPr>
              <w:pStyle w:val="TableParagraph"/>
              <w:spacing w:line="203" w:lineRule="exact"/>
              <w:ind w:left="513" w:right="172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Marescot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, Mare Hill Common,</w:t>
            </w:r>
          </w:p>
          <w:p w:rsidR="0016296F" w:rsidRPr="00D10968" w:rsidRDefault="0016296F" w:rsidP="00C32F41">
            <w:pPr>
              <w:pStyle w:val="TableParagraph"/>
              <w:ind w:left="513" w:right="177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Pulborough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West Sussex </w:t>
            </w:r>
          </w:p>
          <w:p w:rsidR="0016296F" w:rsidRPr="00D10968" w:rsidRDefault="0016296F" w:rsidP="00C32F41">
            <w:pPr>
              <w:pStyle w:val="TableParagraph"/>
              <w:ind w:left="513" w:right="177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RH20 2DX, UK</w:t>
            </w:r>
          </w:p>
          <w:p w:rsidR="0016296F" w:rsidRPr="00D10968" w:rsidRDefault="0016296F" w:rsidP="00C32F41">
            <w:pPr>
              <w:pStyle w:val="TableParagraph"/>
              <w:spacing w:line="219" w:lineRule="exact"/>
              <w:ind w:left="513" w:right="178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hyperlink r:id="rId6">
              <w:r w:rsidRPr="00D10968"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t>avagneur@starline.org</w:t>
              </w:r>
            </w:hyperlink>
          </w:p>
        </w:tc>
      </w:tr>
    </w:tbl>
    <w:p w:rsidR="0016296F" w:rsidRPr="005454E2" w:rsidRDefault="0016296F" w:rsidP="0016296F">
      <w:pPr>
        <w:pStyle w:val="Default"/>
        <w:jc w:val="center"/>
        <w:rPr>
          <w:rFonts w:asciiTheme="majorHAnsi" w:hAnsiTheme="majorHAnsi" w:cstheme="majorHAnsi"/>
          <w:b/>
          <w:bCs/>
          <w:color w:val="2F5496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54E2">
        <w:rPr>
          <w:rFonts w:asciiTheme="majorHAnsi" w:hAnsiTheme="majorHAnsi" w:cstheme="majorHAnsi"/>
          <w:b/>
          <w:bCs/>
          <w:color w:val="2F5496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Translation | Proofreading | Copyediting | </w:t>
      </w:r>
      <w:proofErr w:type="spellStart"/>
      <w:r w:rsidRPr="005454E2">
        <w:rPr>
          <w:rFonts w:asciiTheme="majorHAnsi" w:hAnsiTheme="majorHAnsi" w:cstheme="majorHAnsi"/>
          <w:b/>
          <w:bCs/>
          <w:color w:val="2F5496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MTPE</w:t>
      </w:r>
      <w:proofErr w:type="spellEnd"/>
    </w:p>
    <w:p w:rsidR="0016296F" w:rsidRPr="00D10968" w:rsidRDefault="0016296F" w:rsidP="0016296F">
      <w:pPr>
        <w:pStyle w:val="Default"/>
        <w:jc w:val="center"/>
        <w:rPr>
          <w:rFonts w:asciiTheme="majorHAnsi" w:hAnsiTheme="majorHAnsi" w:cstheme="majorHAnsi"/>
          <w:b/>
        </w:rPr>
      </w:pPr>
      <w:r w:rsidRPr="00D10968">
        <w:rPr>
          <w:rFonts w:asciiTheme="majorHAnsi" w:hAnsiTheme="majorHAnsi" w:cstheme="majorHAnsi"/>
          <w:b/>
          <w:bCs/>
          <w:sz w:val="21"/>
          <w:szCs w:val="21"/>
        </w:rPr>
        <w:t xml:space="preserve">Versatile and detail-oriented professional translator, </w:t>
      </w:r>
      <w:proofErr w:type="spellStart"/>
      <w:r w:rsidRPr="00D10968">
        <w:rPr>
          <w:rFonts w:asciiTheme="majorHAnsi" w:hAnsiTheme="majorHAnsi" w:cstheme="majorHAnsi"/>
          <w:b/>
          <w:bCs/>
          <w:sz w:val="21"/>
          <w:szCs w:val="21"/>
        </w:rPr>
        <w:t>proofreader</w:t>
      </w:r>
      <w:proofErr w:type="spellEnd"/>
      <w:r w:rsidRPr="00D10968">
        <w:rPr>
          <w:rFonts w:asciiTheme="majorHAnsi" w:hAnsiTheme="majorHAnsi" w:cstheme="majorHAnsi"/>
          <w:b/>
          <w:bCs/>
          <w:sz w:val="21"/>
          <w:szCs w:val="21"/>
        </w:rPr>
        <w:t xml:space="preserve"> and copyeditor with 30+ years’ experience in international development, health, environment and mining, law, marketing, art and tourism – driven by quality, precision and confidentiality –</w:t>
      </w:r>
      <w:r w:rsidR="005454E2">
        <w:rPr>
          <w:rFonts w:asciiTheme="majorHAnsi" w:hAnsiTheme="majorHAnsi" w:cstheme="majorHAnsi"/>
          <w:b/>
          <w:bCs/>
          <w:sz w:val="21"/>
          <w:szCs w:val="21"/>
        </w:rPr>
        <w:t xml:space="preserve"> ISO17100 qualified</w:t>
      </w:r>
    </w:p>
    <w:p w:rsidR="0016296F" w:rsidRPr="005454E2" w:rsidRDefault="0016296F" w:rsidP="0016296F">
      <w:pPr>
        <w:pStyle w:val="Heading1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Translating Experience</w:t>
      </w:r>
    </w:p>
    <w:p w:rsidR="0016296F" w:rsidRPr="005454E2" w:rsidRDefault="0016296F" w:rsidP="0016296F">
      <w:pPr>
        <w:pStyle w:val="Heading2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International Development, Health and Social Development</w:t>
      </w:r>
    </w:p>
    <w:p w:rsidR="0016296F" w:rsidRPr="005454E2" w:rsidRDefault="0016296F" w:rsidP="0016296F">
      <w:pPr>
        <w:ind w:hanging="1"/>
        <w:jc w:val="both"/>
        <w:rPr>
          <w:rFonts w:asciiTheme="majorHAnsi" w:hAnsiTheme="majorHAnsi" w:cstheme="majorHAnsi"/>
          <w:color w:val="2F5496" w:themeColor="accent5" w:themeShade="BF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shd w:val="clear" w:color="auto" w:fill="FFFFFF"/>
          <w:lang w:val="en-GB"/>
        </w:rPr>
        <w:t>Specializing in Development, Health, Gender, Humanitarian Aid, Energy, Climate Change and Environment, I work for governmental, international and NGO clients;</w:t>
      </w:r>
      <w:r w:rsidRPr="005454E2">
        <w:rPr>
          <w:rFonts w:asciiTheme="majorHAnsi" w:hAnsiTheme="majorHAnsi" w:cstheme="majorHAnsi"/>
          <w:color w:val="2F5496" w:themeColor="accent5" w:themeShade="BF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423"/>
      </w:tblGrid>
      <w:tr w:rsidR="0016296F" w:rsidRPr="00D10968" w:rsidTr="0016296F">
        <w:tc>
          <w:tcPr>
            <w:tcW w:w="1603" w:type="dxa"/>
          </w:tcPr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b/>
                <w:sz w:val="21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The World Bank</w:t>
            </w:r>
          </w:p>
        </w:tc>
        <w:tc>
          <w:tcPr>
            <w:tcW w:w="7423" w:type="dxa"/>
          </w:tcPr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Accredited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since 2008, I translate key documents on Energy, Hydrology, Ecology, Development Cooperation, Disaster Reduction Risk, Financing Agreements, Project Appraisal Documents and Country Reports</w:t>
            </w:r>
          </w:p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Recent projects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Mini-Grids Solutions (135,000 words); an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ESMAP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-World Bank publication (220,000 words); Hydrology projects in Africa (100,000 words</w:t>
            </w:r>
            <w:r w:rsidR="0083784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</w:tr>
      <w:tr w:rsidR="0016296F" w:rsidRPr="00D10968" w:rsidTr="0016296F">
        <w:tc>
          <w:tcPr>
            <w:tcW w:w="1603" w:type="dxa"/>
          </w:tcPr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OECD</w:t>
            </w:r>
          </w:p>
        </w:tc>
        <w:tc>
          <w:tcPr>
            <w:tcW w:w="7423" w:type="dxa"/>
          </w:tcPr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Accredited 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since 2005 and currently (as of the latest round of tender - Sept 22) </w:t>
            </w:r>
          </w:p>
          <w:p w:rsidR="0016296F" w:rsidRPr="00D10968" w:rsidRDefault="0016296F" w:rsidP="0016296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R</w:t>
            </w: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ecent projects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SIGI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Country Reports (Tunisia, Côte d’Ivoire); Water and Sanitation in Tunisia; Environmental and Climate Action, Development Cooperation and BEPS </w:t>
            </w:r>
          </w:p>
        </w:tc>
      </w:tr>
      <w:tr w:rsidR="0016296F" w:rsidRPr="00D10968" w:rsidTr="0016296F">
        <w:tc>
          <w:tcPr>
            <w:tcW w:w="1603" w:type="dxa"/>
          </w:tcPr>
          <w:p w:rsidR="0016296F" w:rsidRPr="00D10968" w:rsidRDefault="0016296F" w:rsidP="00C32F41">
            <w:pPr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Various governmental organisations, UN agencies, NGOs and Banks</w:t>
            </w:r>
          </w:p>
        </w:tc>
        <w:tc>
          <w:tcPr>
            <w:tcW w:w="7423" w:type="dxa"/>
          </w:tcPr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Focused on Feasibility and Environmental Impact Assessments, Social and Health studies, and Gender issues, for organizations including Oxfam (accredited since 2015), UNESCO, </w:t>
            </w:r>
            <w:proofErr w:type="gram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UNICEF</w:t>
            </w:r>
            <w:proofErr w:type="gram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UNAIDS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UNWomen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UNFPA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WHO 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and 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WFP.</w:t>
            </w:r>
          </w:p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Recent projects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IPPF’s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Client-Centred Clinical Guidelines for Sexual and Reproductive Health (180,000 words); Oxfam’s Training modules for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CaLP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officers (75,000+ words)</w:t>
            </w:r>
            <w:r w:rsidRPr="00D1096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  <w:p w:rsidR="0016296F" w:rsidRPr="00D10968" w:rsidRDefault="0016296F" w:rsidP="00C32F41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:rsidR="0016296F" w:rsidRPr="005454E2" w:rsidRDefault="0016296F" w:rsidP="0016296F">
      <w:pPr>
        <w:pStyle w:val="Heading2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Environment and Mining</w:t>
      </w:r>
    </w:p>
    <w:p w:rsidR="0016296F" w:rsidRPr="005454E2" w:rsidRDefault="0016296F" w:rsidP="0016296F">
      <w:pPr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shd w:val="clear" w:color="auto" w:fill="FFFFFF"/>
          <w:lang w:val="en-GB"/>
        </w:rPr>
        <w:t>Extensive experience in ore, gas and oil mining projects at various stages of development</w:t>
      </w:r>
    </w:p>
    <w:p w:rsidR="0016296F" w:rsidRPr="00D10968" w:rsidRDefault="0016296F" w:rsidP="0016296F">
      <w:pPr>
        <w:ind w:left="567"/>
        <w:rPr>
          <w:rFonts w:asciiTheme="majorHAnsi" w:hAnsiTheme="majorHAnsi" w:cstheme="majorHAnsi"/>
          <w:b/>
          <w:lang w:val="en-GB"/>
        </w:rPr>
      </w:pPr>
      <w:r w:rsidRPr="00D10968">
        <w:rPr>
          <w:rFonts w:asciiTheme="majorHAnsi" w:hAnsiTheme="majorHAnsi" w:cstheme="majorHAnsi"/>
          <w:sz w:val="20"/>
          <w:szCs w:val="20"/>
          <w:lang w:val="en-GB"/>
        </w:rPr>
        <w:t>Feasibility studies, oil development studies (</w:t>
      </w:r>
      <w:proofErr w:type="spellStart"/>
      <w:r w:rsidRPr="00D10968">
        <w:rPr>
          <w:rFonts w:asciiTheme="majorHAnsi" w:hAnsiTheme="majorHAnsi" w:cstheme="majorHAnsi"/>
          <w:sz w:val="20"/>
          <w:szCs w:val="20"/>
          <w:lang w:val="en-GB"/>
        </w:rPr>
        <w:t>Sonatrach</w:t>
      </w:r>
      <w:proofErr w:type="spellEnd"/>
      <w:r w:rsidRPr="00D10968">
        <w:rPr>
          <w:rFonts w:asciiTheme="majorHAnsi" w:hAnsiTheme="majorHAnsi" w:cstheme="majorHAnsi"/>
          <w:sz w:val="20"/>
          <w:szCs w:val="20"/>
          <w:lang w:val="en-GB"/>
        </w:rPr>
        <w:t>, 200,000</w:t>
      </w:r>
      <w:r w:rsidRPr="00D10968">
        <w:rPr>
          <w:rFonts w:asciiTheme="majorHAnsi" w:hAnsiTheme="majorHAnsi" w:cstheme="majorHAnsi"/>
          <w:sz w:val="20"/>
          <w:szCs w:val="20"/>
          <w:lang w:val="en-GB"/>
        </w:rPr>
        <w:t>+</w:t>
      </w:r>
      <w:r w:rsidRPr="00D10968">
        <w:rPr>
          <w:rFonts w:asciiTheme="majorHAnsi" w:hAnsiTheme="majorHAnsi" w:cstheme="majorHAnsi"/>
          <w:sz w:val="20"/>
          <w:szCs w:val="20"/>
          <w:lang w:val="en-GB"/>
        </w:rPr>
        <w:t xml:space="preserve"> words), environmental impact assessments and environmental and social impact assessments (Rio Tinto, 200,000+ words), ecological restoration studies </w:t>
      </w:r>
      <w:r w:rsidRPr="00D10968">
        <w:rPr>
          <w:rFonts w:asciiTheme="majorHAnsi" w:hAnsiTheme="majorHAnsi" w:cstheme="majorHAnsi"/>
          <w:sz w:val="20"/>
          <w:szCs w:val="20"/>
          <w:lang w:val="en-GB"/>
        </w:rPr>
        <w:t xml:space="preserve">and reports and newsletters for </w:t>
      </w:r>
      <w:proofErr w:type="spellStart"/>
      <w:r w:rsidRPr="00D10968">
        <w:rPr>
          <w:rFonts w:asciiTheme="majorHAnsi" w:hAnsiTheme="majorHAnsi" w:cstheme="majorHAnsi"/>
          <w:sz w:val="20"/>
          <w:szCs w:val="20"/>
          <w:lang w:val="en-GB"/>
        </w:rPr>
        <w:t>EITI</w:t>
      </w:r>
      <w:proofErr w:type="spellEnd"/>
      <w:r w:rsidRPr="00D10968">
        <w:rPr>
          <w:rFonts w:asciiTheme="majorHAnsi" w:hAnsiTheme="majorHAnsi" w:cstheme="majorHAnsi"/>
          <w:sz w:val="20"/>
          <w:szCs w:val="20"/>
          <w:lang w:val="en-GB"/>
        </w:rPr>
        <w:t>.</w:t>
      </w:r>
    </w:p>
    <w:p w:rsidR="0016296F" w:rsidRPr="00D10968" w:rsidRDefault="0016296F" w:rsidP="0016296F">
      <w:pPr>
        <w:pStyle w:val="Heading2"/>
        <w:rPr>
          <w:rFonts w:cstheme="majorHAnsi"/>
          <w:b/>
          <w:color w:val="4472C4" w:themeColor="accent5"/>
          <w:lang w:val="en-GB"/>
        </w:rPr>
      </w:pPr>
    </w:p>
    <w:p w:rsidR="0016296F" w:rsidRPr="005454E2" w:rsidRDefault="0016296F" w:rsidP="0016296F">
      <w:pPr>
        <w:pStyle w:val="Heading2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Legal, Marketing and Commercial</w:t>
      </w:r>
    </w:p>
    <w:p w:rsidR="0016296F" w:rsidRPr="005454E2" w:rsidRDefault="0016296F" w:rsidP="0016296F">
      <w:pPr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shd w:val="clear" w:color="auto" w:fill="FFFFFF"/>
          <w:lang w:val="en-GB"/>
        </w:rPr>
        <w:t>With two years of French law studies specializing in comparative law, I translate a wide range of legal texts including  Company Law, Labour Law, Contracts, Public, International, Family, and Criminal Law, translating:-</w:t>
      </w:r>
    </w:p>
    <w:p w:rsidR="0016296F" w:rsidRPr="00D10968" w:rsidRDefault="0016296F" w:rsidP="0016296F">
      <w:pPr>
        <w:ind w:left="567"/>
        <w:rPr>
          <w:rFonts w:asciiTheme="majorHAnsi" w:hAnsiTheme="majorHAnsi" w:cstheme="majorHAnsi"/>
          <w:sz w:val="20"/>
          <w:szCs w:val="20"/>
          <w:lang w:val="en-GB"/>
        </w:rPr>
      </w:pPr>
      <w:r w:rsidRPr="00D10968">
        <w:rPr>
          <w:rFonts w:asciiTheme="majorHAnsi" w:hAnsiTheme="majorHAnsi" w:cstheme="majorHAnsi"/>
          <w:sz w:val="20"/>
          <w:szCs w:val="20"/>
          <w:lang w:val="en-GB"/>
        </w:rPr>
        <w:t xml:space="preserve">Key documents include European Commission and Parliament materials, </w:t>
      </w:r>
      <w:r w:rsidR="00837844" w:rsidRPr="00D10968">
        <w:rPr>
          <w:rFonts w:asciiTheme="majorHAnsi" w:hAnsiTheme="majorHAnsi" w:cstheme="majorHAnsi"/>
          <w:sz w:val="20"/>
          <w:szCs w:val="20"/>
          <w:lang w:val="en-GB"/>
        </w:rPr>
        <w:t xml:space="preserve">collective bargaining agreements, employment and commercial agreements (in excess of 2 million words in total), agency agreements, memoranda and articles of association, intellectual property cases with </w:t>
      </w:r>
      <w:proofErr w:type="spellStart"/>
      <w:r w:rsidR="00837844" w:rsidRPr="00D10968">
        <w:rPr>
          <w:rFonts w:asciiTheme="majorHAnsi" w:hAnsiTheme="majorHAnsi" w:cstheme="majorHAnsi"/>
          <w:sz w:val="20"/>
          <w:szCs w:val="20"/>
          <w:lang w:val="en-GB"/>
        </w:rPr>
        <w:t>EUIPO</w:t>
      </w:r>
      <w:proofErr w:type="spellEnd"/>
      <w:r w:rsidR="00837844" w:rsidRPr="00D10968">
        <w:rPr>
          <w:rFonts w:asciiTheme="majorHAnsi" w:hAnsiTheme="majorHAnsi" w:cstheme="majorHAnsi"/>
          <w:sz w:val="20"/>
          <w:szCs w:val="20"/>
          <w:lang w:val="en-GB"/>
        </w:rPr>
        <w:t>, financial ombudsman claims and court orders.</w:t>
      </w:r>
    </w:p>
    <w:p w:rsidR="0016296F" w:rsidRPr="005454E2" w:rsidRDefault="0016296F" w:rsidP="0016296F">
      <w:pPr>
        <w:rPr>
          <w:rFonts w:asciiTheme="majorHAnsi" w:hAnsiTheme="majorHAnsi" w:cstheme="majorHAnsi"/>
          <w:color w:val="2F5496" w:themeColor="accent5" w:themeShade="BF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shd w:val="clear" w:color="auto" w:fill="FFFFFF"/>
          <w:lang w:val="en-GB"/>
        </w:rPr>
        <w:t>Additionally, I localize and translate diverse corporate and marketing materials</w:t>
      </w:r>
      <w:r w:rsidR="00837844"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shd w:val="clear" w:color="auto" w:fill="FFFFFF"/>
          <w:lang w:val="en-GB"/>
        </w:rPr>
        <w:t>, including</w:t>
      </w: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shd w:val="clear" w:color="auto" w:fill="FFFFFF"/>
          <w:lang w:val="en-GB"/>
        </w:rPr>
        <w:t xml:space="preserve">: </w:t>
      </w:r>
    </w:p>
    <w:p w:rsidR="0016296F" w:rsidRPr="00D10968" w:rsidRDefault="00837844" w:rsidP="0016296F">
      <w:pPr>
        <w:pStyle w:val="TableParagraph"/>
        <w:spacing w:line="243" w:lineRule="exact"/>
        <w:ind w:left="567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C</w:t>
      </w:r>
      <w:r w:rsidR="0016296F" w:rsidRPr="00D10968">
        <w:rPr>
          <w:rFonts w:asciiTheme="majorHAnsi" w:hAnsiTheme="majorHAnsi" w:cstheme="majorHAnsi"/>
          <w:sz w:val="20"/>
          <w:szCs w:val="20"/>
          <w:lang w:val="en-GB"/>
        </w:rPr>
        <w:t>ompany profiles, product brochures, newsletters, advertising content, mission statements, annual reports, management reviews, profit-sharing schemes, pre</w:t>
      </w:r>
      <w:r w:rsidR="0016296F" w:rsidRPr="00D10968">
        <w:rPr>
          <w:rFonts w:asciiTheme="majorHAnsi" w:hAnsiTheme="majorHAnsi" w:cstheme="majorHAnsi"/>
          <w:sz w:val="20"/>
          <w:szCs w:val="20"/>
          <w:lang w:val="en-GB"/>
        </w:rPr>
        <w:t>ss releases and web sites.</w:t>
      </w:r>
    </w:p>
    <w:p w:rsidR="0016296F" w:rsidRPr="00D10968" w:rsidRDefault="0016296F" w:rsidP="0016296F">
      <w:pPr>
        <w:pStyle w:val="TableParagraph"/>
        <w:spacing w:line="243" w:lineRule="exact"/>
        <w:ind w:left="567"/>
        <w:rPr>
          <w:rFonts w:asciiTheme="majorHAnsi" w:hAnsiTheme="majorHAnsi" w:cstheme="majorHAnsi"/>
          <w:sz w:val="20"/>
          <w:szCs w:val="20"/>
          <w:lang w:val="en-GB"/>
        </w:rPr>
      </w:pPr>
    </w:p>
    <w:p w:rsidR="0016296F" w:rsidRPr="005454E2" w:rsidRDefault="0016296F" w:rsidP="0016296F">
      <w:pPr>
        <w:pStyle w:val="Heading2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lastRenderedPageBreak/>
        <w:t>Art &amp; Tourism</w:t>
      </w:r>
    </w:p>
    <w:p w:rsidR="0016296F" w:rsidRPr="005454E2" w:rsidRDefault="0016296F" w:rsidP="0016296F">
      <w:pPr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  <w:t xml:space="preserve">A vast experience in translating </w:t>
      </w:r>
      <w:proofErr w:type="spellStart"/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  <w:t>audioguides</w:t>
      </w:r>
      <w:proofErr w:type="spellEnd"/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  <w:t xml:space="preserve"> and guidebooks for tourist sites from all eras, mostly UK-based, requiring specialist knowledge in art, archaeology, architecture, history, with some voice-over experience</w:t>
      </w:r>
    </w:p>
    <w:p w:rsidR="0016296F" w:rsidRPr="00D10968" w:rsidRDefault="0016296F" w:rsidP="0016296F">
      <w:pPr>
        <w:pStyle w:val="TableParagraph"/>
        <w:spacing w:line="203" w:lineRule="exact"/>
        <w:ind w:left="699"/>
        <w:rPr>
          <w:rFonts w:asciiTheme="majorHAnsi" w:hAnsiTheme="majorHAnsi" w:cstheme="majorHAnsi"/>
          <w:sz w:val="20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z w:val="20"/>
          <w:lang w:val="en-GB"/>
        </w:rPr>
        <w:t xml:space="preserve">Canterbury Cathedral, St Paul’s Cathedral, Westminster Cathedral, Holyrood, Buckingham Palace, </w:t>
      </w:r>
      <w:r w:rsidRPr="00D10968">
        <w:rPr>
          <w:rFonts w:asciiTheme="majorHAnsi" w:hAnsiTheme="majorHAnsi" w:cstheme="majorHAnsi"/>
          <w:sz w:val="20"/>
          <w:lang w:val="en-GB"/>
        </w:rPr>
        <w:t>Kensington Palace, Hampton Court Palace, Balmoral, Royal Mews, Windsor Castle, Rembrandt House, HMS Belfast, The Titanic Experience, Royal Yacht Britannia and many more</w:t>
      </w:r>
      <w:r w:rsidRPr="00D10968">
        <w:rPr>
          <w:rFonts w:asciiTheme="majorHAnsi" w:hAnsiTheme="majorHAnsi" w:cstheme="majorHAnsi"/>
          <w:sz w:val="20"/>
          <w:lang w:val="en-GB"/>
        </w:rPr>
        <w:t>.</w:t>
      </w:r>
      <w:r w:rsidRPr="00D10968">
        <w:rPr>
          <w:rFonts w:asciiTheme="majorHAnsi" w:hAnsiTheme="majorHAnsi" w:cstheme="majorHAnsi"/>
          <w:sz w:val="20"/>
          <w:lang w:val="en-GB"/>
        </w:rPr>
        <w:tab/>
      </w:r>
      <w:r w:rsidRPr="00D10968">
        <w:rPr>
          <w:rFonts w:asciiTheme="majorHAnsi" w:hAnsiTheme="majorHAnsi" w:cstheme="majorHAnsi"/>
          <w:sz w:val="20"/>
          <w:lang w:val="en-GB"/>
        </w:rPr>
        <w:tab/>
      </w:r>
      <w:r w:rsidRPr="00D10968">
        <w:rPr>
          <w:rFonts w:asciiTheme="majorHAnsi" w:hAnsiTheme="majorHAnsi" w:cstheme="majorHAnsi"/>
          <w:sz w:val="20"/>
          <w:lang w:val="en-GB"/>
        </w:rPr>
        <w:tab/>
      </w:r>
    </w:p>
    <w:p w:rsidR="0016296F" w:rsidRPr="00D10968" w:rsidRDefault="0016296F" w:rsidP="0016296F">
      <w:pPr>
        <w:pStyle w:val="Heading2"/>
        <w:rPr>
          <w:rFonts w:cstheme="majorHAnsi"/>
          <w:b/>
          <w:color w:val="4472C4" w:themeColor="accent5"/>
          <w:lang w:val="en-GB"/>
        </w:rPr>
      </w:pPr>
    </w:p>
    <w:p w:rsidR="0016296F" w:rsidRPr="005454E2" w:rsidRDefault="0016296F" w:rsidP="0016296F">
      <w:pPr>
        <w:pStyle w:val="Heading2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Copyediting</w:t>
      </w:r>
    </w:p>
    <w:p w:rsidR="0016296F" w:rsidRPr="005454E2" w:rsidRDefault="0016296F" w:rsidP="0016296F">
      <w:pPr>
        <w:rPr>
          <w:rFonts w:asciiTheme="majorHAnsi" w:hAnsiTheme="majorHAnsi" w:cstheme="majorHAnsi"/>
          <w:color w:val="2F5496" w:themeColor="accent5" w:themeShade="BF"/>
          <w:sz w:val="20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spacing w:val="1"/>
          <w:sz w:val="21"/>
          <w:szCs w:val="21"/>
        </w:rPr>
        <w:t>At the special request of long-standing clients, I now offer tailored copyediting solutions for French-language materials, ensuring accuracy, consistency, and style refinement throughout every project</w:t>
      </w:r>
      <w:r w:rsidRPr="005454E2">
        <w:rPr>
          <w:rFonts w:asciiTheme="majorHAnsi" w:hAnsiTheme="majorHAnsi" w:cstheme="majorHAnsi"/>
          <w:color w:val="2F5496" w:themeColor="accent5" w:themeShade="BF"/>
          <w:sz w:val="21"/>
          <w:szCs w:val="21"/>
          <w:lang w:val="en-GB"/>
        </w:rPr>
        <w:t>:</w:t>
      </w:r>
    </w:p>
    <w:p w:rsidR="0016296F" w:rsidRPr="00D10968" w:rsidRDefault="0016296F" w:rsidP="0016296F">
      <w:pPr>
        <w:pStyle w:val="TableParagraph"/>
        <w:numPr>
          <w:ilvl w:val="0"/>
          <w:numId w:val="2"/>
        </w:numPr>
        <w:spacing w:line="203" w:lineRule="exact"/>
        <w:rPr>
          <w:rFonts w:asciiTheme="majorHAnsi" w:hAnsiTheme="majorHAnsi" w:cstheme="majorHAnsi"/>
          <w:b/>
          <w:sz w:val="20"/>
          <w:lang w:val="en-GB"/>
        </w:rPr>
      </w:pPr>
      <w:r w:rsidRPr="00D10968">
        <w:rPr>
          <w:rFonts w:asciiTheme="majorHAnsi" w:hAnsiTheme="majorHAnsi" w:cstheme="majorHAnsi"/>
          <w:sz w:val="20"/>
          <w:lang w:val="en-GB"/>
        </w:rPr>
        <w:t>Edited a 55,000-word report on gender-based violence in Africa, authored by multiple contributors, by harmonizing writing style, eliminating redundancies, clarifying key points, and restructuring the introduction and conclusion.</w:t>
      </w:r>
    </w:p>
    <w:p w:rsidR="0016296F" w:rsidRPr="00D10968" w:rsidRDefault="0016296F" w:rsidP="0016296F">
      <w:pPr>
        <w:pStyle w:val="TableParagraph"/>
        <w:numPr>
          <w:ilvl w:val="0"/>
          <w:numId w:val="2"/>
        </w:numPr>
        <w:spacing w:line="203" w:lineRule="exact"/>
        <w:rPr>
          <w:rFonts w:asciiTheme="majorHAnsi" w:hAnsiTheme="majorHAnsi" w:cstheme="majorHAnsi"/>
          <w:b/>
          <w:sz w:val="20"/>
          <w:lang w:val="en-GB"/>
        </w:rPr>
      </w:pPr>
      <w:r w:rsidRPr="00D10968">
        <w:rPr>
          <w:rFonts w:asciiTheme="majorHAnsi" w:hAnsiTheme="majorHAnsi" w:cstheme="majorHAnsi"/>
          <w:sz w:val="20"/>
          <w:lang w:val="en-GB"/>
        </w:rPr>
        <w:t>Rewrote a 30,000-word mining sector report in Africa, ensuring alignment with corporate terminology and established formatting guidelines</w:t>
      </w:r>
    </w:p>
    <w:p w:rsidR="0016296F" w:rsidRPr="00D10968" w:rsidRDefault="0016296F" w:rsidP="0016296F">
      <w:pPr>
        <w:pStyle w:val="TableParagraph"/>
        <w:numPr>
          <w:ilvl w:val="0"/>
          <w:numId w:val="2"/>
        </w:numPr>
        <w:spacing w:line="203" w:lineRule="exact"/>
        <w:rPr>
          <w:rFonts w:asciiTheme="majorHAnsi" w:hAnsiTheme="majorHAnsi" w:cstheme="majorHAnsi"/>
          <w:b/>
          <w:sz w:val="20"/>
          <w:lang w:val="en-GB"/>
        </w:rPr>
      </w:pPr>
      <w:r w:rsidRPr="00D10968">
        <w:rPr>
          <w:rFonts w:asciiTheme="majorHAnsi" w:hAnsiTheme="majorHAnsi" w:cstheme="majorHAnsi"/>
          <w:sz w:val="20"/>
          <w:lang w:val="en-GB"/>
        </w:rPr>
        <w:t>Consolidated an urgent NGO progress report composed of seven separately translated 10,000-word regional updates, creating a unified and cohesive document that reads seamlessly.</w:t>
      </w:r>
    </w:p>
    <w:p w:rsidR="0016296F" w:rsidRPr="005454E2" w:rsidRDefault="0016296F" w:rsidP="0016296F">
      <w:pPr>
        <w:pStyle w:val="Heading1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Education</w:t>
      </w:r>
    </w:p>
    <w:p w:rsidR="0016296F" w:rsidRPr="005454E2" w:rsidRDefault="0016296F" w:rsidP="0016296F">
      <w:pPr>
        <w:pStyle w:val="TableParagraph"/>
        <w:spacing w:line="244" w:lineRule="exact"/>
        <w:ind w:left="0"/>
        <w:rPr>
          <w:rFonts w:asciiTheme="majorHAnsi" w:hAnsiTheme="majorHAnsi" w:cstheme="majorHAnsi"/>
          <w:color w:val="2F5496" w:themeColor="accent5" w:themeShade="BF"/>
          <w:sz w:val="20"/>
          <w:lang w:val="en-GB"/>
        </w:rPr>
      </w:pPr>
      <w:r w:rsidRPr="005454E2">
        <w:rPr>
          <w:rFonts w:asciiTheme="majorHAnsi" w:hAnsiTheme="majorHAnsi" w:cstheme="majorHAnsi"/>
          <w:color w:val="2F5496" w:themeColor="accent5" w:themeShade="BF"/>
          <w:lang w:val="en-GB"/>
        </w:rPr>
        <w:t xml:space="preserve">A </w:t>
      </w:r>
      <w:r w:rsidRPr="005454E2">
        <w:rPr>
          <w:rFonts w:asciiTheme="majorHAnsi" w:hAnsiTheme="majorHAnsi" w:cstheme="majorHAnsi"/>
          <w:b/>
          <w:color w:val="2F5496" w:themeColor="accent5" w:themeShade="BF"/>
          <w:lang w:val="en-GB"/>
        </w:rPr>
        <w:t>Translating Diploma</w:t>
      </w:r>
      <w:r w:rsidRPr="005454E2">
        <w:rPr>
          <w:rFonts w:asciiTheme="majorHAnsi" w:hAnsiTheme="majorHAnsi" w:cstheme="majorHAnsi"/>
          <w:color w:val="2F5496" w:themeColor="accent5" w:themeShade="BF"/>
          <w:lang w:val="en-GB"/>
        </w:rPr>
        <w:t xml:space="preserve"> acquired at the end of a fourth year at university </w:t>
      </w:r>
      <w:bookmarkStart w:id="0" w:name="_GoBack"/>
      <w:bookmarkEnd w:id="0"/>
      <w:r w:rsidRPr="005454E2">
        <w:rPr>
          <w:rFonts w:asciiTheme="majorHAnsi" w:hAnsiTheme="majorHAnsi" w:cstheme="majorHAnsi"/>
          <w:color w:val="2F5496" w:themeColor="accent5" w:themeShade="BF"/>
          <w:lang w:val="en-GB"/>
        </w:rPr>
        <w:t xml:space="preserve">(eq. to an MA) to qualify as a translator and interpreter, which followed a </w:t>
      </w:r>
      <w:r w:rsidRPr="005454E2">
        <w:rPr>
          <w:rFonts w:asciiTheme="majorHAnsi" w:hAnsiTheme="majorHAnsi" w:cstheme="majorHAnsi"/>
          <w:b/>
          <w:color w:val="2F5496" w:themeColor="accent5" w:themeShade="BF"/>
          <w:lang w:val="en-GB"/>
        </w:rPr>
        <w:t xml:space="preserve">degree </w:t>
      </w:r>
      <w:r w:rsidRPr="005454E2">
        <w:rPr>
          <w:rFonts w:asciiTheme="majorHAnsi" w:hAnsiTheme="majorHAnsi" w:cstheme="majorHAnsi"/>
          <w:color w:val="2F5496" w:themeColor="accent5" w:themeShade="BF"/>
          <w:lang w:val="en-GB"/>
        </w:rPr>
        <w:t xml:space="preserve">in English and German, completed by a </w:t>
      </w:r>
      <w:r w:rsidRPr="005454E2">
        <w:rPr>
          <w:rFonts w:asciiTheme="majorHAnsi" w:hAnsiTheme="majorHAnsi" w:cstheme="majorHAnsi"/>
          <w:b/>
          <w:color w:val="2F5496" w:themeColor="accent5" w:themeShade="BF"/>
          <w:lang w:val="en-GB"/>
        </w:rPr>
        <w:t xml:space="preserve">post-graduate </w:t>
      </w:r>
      <w:r w:rsidRPr="005454E2">
        <w:rPr>
          <w:rFonts w:asciiTheme="majorHAnsi" w:hAnsiTheme="majorHAnsi" w:cstheme="majorHAnsi"/>
          <w:color w:val="2F5496" w:themeColor="accent5" w:themeShade="BF"/>
          <w:lang w:val="en-GB"/>
        </w:rPr>
        <w:t xml:space="preserve">diploma in PR, Journalism and Advertising, and more recently studying two years </w:t>
      </w:r>
      <w:r w:rsidRPr="005454E2">
        <w:rPr>
          <w:rFonts w:asciiTheme="majorHAnsi" w:hAnsiTheme="majorHAnsi" w:cstheme="majorHAnsi"/>
          <w:b/>
          <w:color w:val="2F5496" w:themeColor="accent5" w:themeShade="BF"/>
          <w:lang w:val="en-GB"/>
        </w:rPr>
        <w:t xml:space="preserve">French Law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1"/>
        <w:gridCol w:w="6623"/>
        <w:gridCol w:w="215"/>
      </w:tblGrid>
      <w:tr w:rsidR="0016296F" w:rsidRPr="00D10968" w:rsidTr="008A450D">
        <w:tc>
          <w:tcPr>
            <w:tcW w:w="2188" w:type="dxa"/>
            <w:gridSpan w:val="2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838" w:type="dxa"/>
            <w:gridSpan w:val="2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6296F" w:rsidRPr="00D10968" w:rsidTr="008A450D">
        <w:trPr>
          <w:gridAfter w:val="1"/>
          <w:wAfter w:w="215" w:type="dxa"/>
        </w:trPr>
        <w:tc>
          <w:tcPr>
            <w:tcW w:w="2127" w:type="dxa"/>
          </w:tcPr>
          <w:p w:rsidR="0016296F" w:rsidRPr="00D10968" w:rsidRDefault="0016296F" w:rsidP="008A450D">
            <w:pPr>
              <w:pStyle w:val="TableParagraph"/>
              <w:spacing w:line="244" w:lineRule="exact"/>
              <w:ind w:left="-108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Sept 1991-Dec 1992 </w:t>
            </w:r>
          </w:p>
          <w:p w:rsidR="0016296F" w:rsidRPr="00D10968" w:rsidRDefault="0016296F" w:rsidP="008A450D">
            <w:pPr>
              <w:pStyle w:val="TableParagraph"/>
              <w:spacing w:line="244" w:lineRule="exact"/>
              <w:ind w:left="-108"/>
              <w:rPr>
                <w:rFonts w:asciiTheme="majorHAnsi" w:hAnsiTheme="majorHAnsi" w:cstheme="majorHAnsi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Sciences Com’, 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Nantes, France</w:t>
            </w:r>
          </w:p>
        </w:tc>
        <w:tc>
          <w:tcPr>
            <w:tcW w:w="6684" w:type="dxa"/>
            <w:gridSpan w:val="2"/>
          </w:tcPr>
          <w:p w:rsidR="0016296F" w:rsidRPr="00D10968" w:rsidRDefault="0016296F" w:rsidP="00D10968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Post-graduate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 Diploma in Business Communication,</w:t>
            </w:r>
            <w:r w:rsidRPr="00D10968">
              <w:rPr>
                <w:rFonts w:asciiTheme="majorHAnsi" w:hAnsiTheme="majorHAnsi" w:cstheme="majorHAnsi"/>
                <w:spacing w:val="-25"/>
                <w:sz w:val="20"/>
                <w:lang w:val="en-GB"/>
              </w:rPr>
              <w:t xml:space="preserve"> 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Journalism, Advertising, Marketing, TV And Radio Production</w:t>
            </w:r>
          </w:p>
        </w:tc>
      </w:tr>
      <w:tr w:rsidR="0016296F" w:rsidRPr="00D10968" w:rsidTr="008A450D">
        <w:trPr>
          <w:gridAfter w:val="1"/>
          <w:wAfter w:w="215" w:type="dxa"/>
        </w:trPr>
        <w:tc>
          <w:tcPr>
            <w:tcW w:w="2127" w:type="dxa"/>
          </w:tcPr>
          <w:p w:rsidR="0016296F" w:rsidRPr="00D10968" w:rsidRDefault="0016296F" w:rsidP="008A450D">
            <w:pPr>
              <w:pStyle w:val="TableParagraph"/>
              <w:ind w:left="-108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Sept 1989-June 1990</w:t>
            </w:r>
          </w:p>
          <w:p w:rsidR="0016296F" w:rsidRPr="00D10968" w:rsidRDefault="0016296F" w:rsidP="008A450D">
            <w:pPr>
              <w:pStyle w:val="TableParagraph"/>
              <w:spacing w:line="244" w:lineRule="exact"/>
              <w:ind w:left="-108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proofErr w:type="spellStart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IPLV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 - UCO, Angers, France</w:t>
            </w:r>
          </w:p>
        </w:tc>
        <w:tc>
          <w:tcPr>
            <w:tcW w:w="6684" w:type="dxa"/>
            <w:gridSpan w:val="2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Translating &amp; Interpreting Diploma 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(Equivalent to an </w:t>
            </w: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MA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) in French-English-German. Literary, commercial and technical translations, Business Studies, British and American History</w:t>
            </w:r>
          </w:p>
        </w:tc>
      </w:tr>
      <w:tr w:rsidR="0016296F" w:rsidRPr="00D10968" w:rsidTr="008A450D">
        <w:trPr>
          <w:gridAfter w:val="1"/>
          <w:wAfter w:w="215" w:type="dxa"/>
        </w:trPr>
        <w:tc>
          <w:tcPr>
            <w:tcW w:w="2127" w:type="dxa"/>
          </w:tcPr>
          <w:p w:rsidR="0016296F" w:rsidRPr="00D10968" w:rsidRDefault="0016296F" w:rsidP="008A450D">
            <w:pPr>
              <w:pStyle w:val="TableParagraph"/>
              <w:spacing w:line="243" w:lineRule="exact"/>
              <w:ind w:left="-108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Sept 1986-June 1989</w:t>
            </w:r>
          </w:p>
          <w:p w:rsidR="0016296F" w:rsidRPr="00D10968" w:rsidRDefault="0016296F" w:rsidP="008A450D">
            <w:pPr>
              <w:pStyle w:val="TableParagraph"/>
              <w:ind w:left="-108"/>
              <w:rPr>
                <w:rFonts w:asciiTheme="majorHAnsi" w:hAnsiTheme="majorHAnsi" w:cstheme="majorHAnsi"/>
                <w:sz w:val="20"/>
                <w:lang w:val="en-GB"/>
              </w:rPr>
            </w:pPr>
            <w:proofErr w:type="spellStart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IPLV</w:t>
            </w:r>
            <w:proofErr w:type="spellEnd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 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- UCO, Angers, France</w:t>
            </w:r>
          </w:p>
        </w:tc>
        <w:tc>
          <w:tcPr>
            <w:tcW w:w="6684" w:type="dxa"/>
            <w:gridSpan w:val="2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Degree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in English and German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, with extra modules in Archaeology and History of Art</w:t>
            </w:r>
          </w:p>
        </w:tc>
      </w:tr>
      <w:tr w:rsidR="0016296F" w:rsidRPr="00D10968" w:rsidTr="008A450D">
        <w:trPr>
          <w:gridAfter w:val="1"/>
          <w:wAfter w:w="215" w:type="dxa"/>
        </w:trPr>
        <w:tc>
          <w:tcPr>
            <w:tcW w:w="2127" w:type="dxa"/>
          </w:tcPr>
          <w:p w:rsidR="0016296F" w:rsidRPr="00D10968" w:rsidRDefault="0016296F" w:rsidP="008A450D">
            <w:pPr>
              <w:pStyle w:val="TableParagraph"/>
              <w:spacing w:line="226" w:lineRule="exact"/>
              <w:ind w:left="-108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Sept 2012- July 2014</w:t>
            </w:r>
          </w:p>
          <w:p w:rsidR="0016296F" w:rsidRPr="00D10968" w:rsidRDefault="0016296F" w:rsidP="008A450D">
            <w:pPr>
              <w:pStyle w:val="TableParagraph"/>
              <w:spacing w:line="244" w:lineRule="exact"/>
              <w:ind w:left="-108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CAVEJ</w:t>
            </w:r>
            <w:proofErr w:type="spellEnd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, 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Sorbonne University, Paris, France</w:t>
            </w:r>
          </w:p>
        </w:tc>
        <w:tc>
          <w:tcPr>
            <w:tcW w:w="6684" w:type="dxa"/>
            <w:gridSpan w:val="2"/>
          </w:tcPr>
          <w:p w:rsidR="0016296F" w:rsidRPr="00D10968" w:rsidRDefault="0016296F" w:rsidP="00C32F41">
            <w:pPr>
              <w:pStyle w:val="TableParagraph"/>
              <w:spacing w:line="226" w:lineRule="exact"/>
              <w:ind w:left="0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2 years of </w:t>
            </w: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French Law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 - Distance learning - Constitutional Law, Civil Law, Family Law, Contract Law, Administrative Law, EU Law, Comparative Law</w:t>
            </w:r>
          </w:p>
        </w:tc>
      </w:tr>
    </w:tbl>
    <w:p w:rsidR="0016296F" w:rsidRPr="005454E2" w:rsidRDefault="0016296F" w:rsidP="0016296F">
      <w:pPr>
        <w:pStyle w:val="Heading1"/>
        <w:rPr>
          <w:rFonts w:cstheme="majorHAnsi"/>
          <w:b/>
          <w:color w:val="2F5496" w:themeColor="accent5" w:themeShade="BF"/>
          <w:lang w:val="en-GB"/>
        </w:rPr>
      </w:pPr>
      <w:r w:rsidRPr="005454E2">
        <w:rPr>
          <w:rFonts w:cstheme="majorHAnsi"/>
          <w:b/>
          <w:color w:val="2F5496" w:themeColor="accent5" w:themeShade="BF"/>
          <w:lang w:val="en-GB"/>
        </w:rPr>
        <w:t>Other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7015"/>
      </w:tblGrid>
      <w:tr w:rsidR="0016296F" w:rsidRPr="00D10968" w:rsidTr="00C32F41">
        <w:tc>
          <w:tcPr>
            <w:tcW w:w="206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CAT Tools</w:t>
            </w:r>
          </w:p>
        </w:tc>
        <w:tc>
          <w:tcPr>
            <w:tcW w:w="7285" w:type="dxa"/>
          </w:tcPr>
          <w:p w:rsidR="0016296F" w:rsidRPr="00D10968" w:rsidRDefault="0016296F" w:rsidP="00C32F41">
            <w:pPr>
              <w:pStyle w:val="TableParagraph"/>
              <w:spacing w:line="243" w:lineRule="exact"/>
              <w:ind w:left="-18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SDL Studio 2024,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memoQ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 11.2, Phrase</w:t>
            </w:r>
          </w:p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6296F" w:rsidRPr="00D10968" w:rsidTr="00C32F41">
        <w:tc>
          <w:tcPr>
            <w:tcW w:w="206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Insurance</w:t>
            </w:r>
          </w:p>
        </w:tc>
        <w:tc>
          <w:tcPr>
            <w:tcW w:w="728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Professional Indemnity Insurance and Civil Liability Insurance (Limit: £1,000,000 each)</w:t>
            </w:r>
          </w:p>
        </w:tc>
      </w:tr>
      <w:tr w:rsidR="0016296F" w:rsidRPr="00D10968" w:rsidTr="00C32F41">
        <w:tc>
          <w:tcPr>
            <w:tcW w:w="206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lang w:val="en-GB"/>
              </w:rPr>
              <w:br w:type="page"/>
            </w:r>
          </w:p>
        </w:tc>
        <w:tc>
          <w:tcPr>
            <w:tcW w:w="728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16296F" w:rsidRPr="00D10968" w:rsidTr="00C32F41">
        <w:tc>
          <w:tcPr>
            <w:tcW w:w="206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proofErr w:type="spellStart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CPD</w:t>
            </w:r>
            <w:proofErr w:type="spellEnd"/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 (some examples)</w:t>
            </w:r>
          </w:p>
        </w:tc>
        <w:tc>
          <w:tcPr>
            <w:tcW w:w="7285" w:type="dxa"/>
          </w:tcPr>
          <w:p w:rsidR="0016296F" w:rsidRPr="00D10968" w:rsidRDefault="0016296F" w:rsidP="0016296F">
            <w:pPr>
              <w:pStyle w:val="TableParagraph"/>
              <w:numPr>
                <w:ilvl w:val="0"/>
                <w:numId w:val="1"/>
              </w:numPr>
              <w:ind w:left="257" w:right="534" w:hanging="257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May 2025: Self-Revision Secrets for Top-Flight Translators</w:t>
            </w:r>
          </w:p>
          <w:p w:rsidR="0016296F" w:rsidRPr="00D10968" w:rsidRDefault="0016296F" w:rsidP="0016296F">
            <w:pPr>
              <w:pStyle w:val="TableParagraph"/>
              <w:numPr>
                <w:ilvl w:val="0"/>
                <w:numId w:val="1"/>
              </w:numPr>
              <w:ind w:left="257" w:right="534" w:hanging="257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October 2024: The Art of </w:t>
            </w:r>
            <w:proofErr w:type="spellStart"/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Transcreation</w:t>
            </w:r>
            <w:proofErr w:type="spellEnd"/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:rsidR="0016296F" w:rsidRPr="00D10968" w:rsidRDefault="0016296F" w:rsidP="0016296F">
            <w:pPr>
              <w:pStyle w:val="TableParagraph"/>
              <w:numPr>
                <w:ilvl w:val="0"/>
                <w:numId w:val="1"/>
              </w:numPr>
              <w:ind w:left="257" w:right="534" w:hanging="257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February 2021: 6-hour seminar on Concise Writing (Magistrad)</w:t>
            </w:r>
          </w:p>
          <w:p w:rsidR="0016296F" w:rsidRPr="00D10968" w:rsidRDefault="0016296F" w:rsidP="00C32F41">
            <w:pPr>
              <w:pStyle w:val="TableParagraph"/>
              <w:tabs>
                <w:tab w:val="left" w:pos="442"/>
              </w:tabs>
              <w:ind w:left="257" w:right="196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16296F" w:rsidRPr="00D10968" w:rsidTr="00C32F41">
        <w:tc>
          <w:tcPr>
            <w:tcW w:w="2065" w:type="dxa"/>
          </w:tcPr>
          <w:p w:rsidR="0016296F" w:rsidRPr="00D10968" w:rsidRDefault="0016296F" w:rsidP="00C32F41">
            <w:pPr>
              <w:pStyle w:val="TableParagraph"/>
              <w:spacing w:line="244" w:lineRule="exact"/>
              <w:ind w:left="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b/>
                <w:sz w:val="20"/>
                <w:lang w:val="en-GB"/>
              </w:rPr>
              <w:t>Hobbies</w:t>
            </w:r>
          </w:p>
        </w:tc>
        <w:tc>
          <w:tcPr>
            <w:tcW w:w="7285" w:type="dxa"/>
          </w:tcPr>
          <w:p w:rsidR="0016296F" w:rsidRPr="00D10968" w:rsidRDefault="0016296F" w:rsidP="00C32F41">
            <w:pPr>
              <w:pStyle w:val="TableParagraph"/>
              <w:ind w:left="0" w:right="534"/>
              <w:rPr>
                <w:rFonts w:asciiTheme="majorHAnsi" w:hAnsiTheme="majorHAnsi" w:cstheme="majorHAnsi"/>
                <w:sz w:val="20"/>
                <w:lang w:val="en-GB"/>
              </w:rPr>
            </w:pP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Trail </w:t>
            </w:r>
            <w:r w:rsidR="007C1C2E" w:rsidRPr="00D10968">
              <w:rPr>
                <w:rFonts w:asciiTheme="majorHAnsi" w:hAnsiTheme="majorHAnsi" w:cstheme="majorHAnsi"/>
                <w:sz w:val="20"/>
                <w:lang w:val="en-GB"/>
              </w:rPr>
              <w:t xml:space="preserve">running, horse riding, oil painting, fell walking, wild water swimming, founder of a local </w:t>
            </w:r>
            <w:r w:rsidRPr="00D10968">
              <w:rPr>
                <w:rFonts w:asciiTheme="majorHAnsi" w:hAnsiTheme="majorHAnsi" w:cstheme="majorHAnsi"/>
                <w:sz w:val="20"/>
                <w:lang w:val="en-GB"/>
              </w:rPr>
              <w:t>book club</w:t>
            </w:r>
          </w:p>
        </w:tc>
      </w:tr>
    </w:tbl>
    <w:p w:rsidR="006F55C6" w:rsidRPr="00D10968" w:rsidRDefault="006F55C6">
      <w:pPr>
        <w:rPr>
          <w:rFonts w:asciiTheme="majorHAnsi" w:hAnsiTheme="majorHAnsi" w:cstheme="majorHAnsi"/>
        </w:rPr>
      </w:pPr>
    </w:p>
    <w:sectPr w:rsidR="006F55C6" w:rsidRPr="00D10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65B"/>
    <w:multiLevelType w:val="hybridMultilevel"/>
    <w:tmpl w:val="D3B0B23C"/>
    <w:lvl w:ilvl="0" w:tplc="A008F1B2">
      <w:start w:val="2"/>
      <w:numFmt w:val="bullet"/>
      <w:lvlText w:val=""/>
      <w:lvlJc w:val="left"/>
      <w:pPr>
        <w:ind w:left="1059" w:hanging="360"/>
      </w:pPr>
      <w:rPr>
        <w:rFonts w:ascii="Symbol" w:eastAsia="Calibri" w:hAnsi="Symbol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49A615E"/>
    <w:multiLevelType w:val="hybridMultilevel"/>
    <w:tmpl w:val="550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6F"/>
    <w:rsid w:val="0016296F"/>
    <w:rsid w:val="002A71D7"/>
    <w:rsid w:val="00336CEC"/>
    <w:rsid w:val="005454E2"/>
    <w:rsid w:val="006878C0"/>
    <w:rsid w:val="006F55C6"/>
    <w:rsid w:val="007C1C2E"/>
    <w:rsid w:val="0080671B"/>
    <w:rsid w:val="00837844"/>
    <w:rsid w:val="008A450D"/>
    <w:rsid w:val="00B010B7"/>
    <w:rsid w:val="00C348DF"/>
    <w:rsid w:val="00D10968"/>
    <w:rsid w:val="00E10040"/>
    <w:rsid w:val="00E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BA15B-DF8F-49D6-B10F-25B836A0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29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629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16296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296F"/>
    <w:rPr>
      <w:rFonts w:ascii="Calibri" w:eastAsia="Calibri" w:hAnsi="Calibri" w:cs="Calibri"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16296F"/>
    <w:pPr>
      <w:ind w:left="200"/>
    </w:pPr>
  </w:style>
  <w:style w:type="table" w:styleId="TableGrid">
    <w:name w:val="Table Grid"/>
    <w:basedOn w:val="TableNormal"/>
    <w:uiPriority w:val="39"/>
    <w:rsid w:val="001629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9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gneur@starline.org" TargetMode="External"/><Relationship Id="rId5" Type="http://schemas.openxmlformats.org/officeDocument/2006/relationships/hyperlink" Target="http://www.starlinetranslation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5</cp:revision>
  <cp:lastPrinted>2025-09-02T15:19:00Z</cp:lastPrinted>
  <dcterms:created xsi:type="dcterms:W3CDTF">2025-09-02T14:36:00Z</dcterms:created>
  <dcterms:modified xsi:type="dcterms:W3CDTF">2025-09-02T15:26:00Z</dcterms:modified>
</cp:coreProperties>
</file>